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F8849" w14:textId="4AC9B19A" w:rsidR="008A616B" w:rsidRPr="008A616B" w:rsidRDefault="008A616B" w:rsidP="008A616B">
      <w:pPr>
        <w:spacing w:after="0" w:line="240" w:lineRule="auto"/>
        <w:jc w:val="center"/>
        <w:rPr>
          <w:rFonts w:ascii="Calibri" w:eastAsia="Times New Roman" w:hAnsi="Calibri" w:cs="Calibri"/>
          <w:b/>
          <w:bCs/>
          <w:color w:val="000000"/>
          <w:sz w:val="28"/>
          <w:szCs w:val="28"/>
          <w:u w:val="single"/>
          <w:lang w:eastAsia="fr-FR"/>
        </w:rPr>
      </w:pPr>
      <w:r w:rsidRPr="008A616B">
        <w:rPr>
          <w:rFonts w:ascii="Calibri" w:eastAsia="Times New Roman" w:hAnsi="Calibri" w:cs="Calibri"/>
          <w:b/>
          <w:bCs/>
          <w:color w:val="000000"/>
          <w:sz w:val="28"/>
          <w:szCs w:val="28"/>
          <w:u w:val="single"/>
          <w:lang w:eastAsia="fr-FR"/>
        </w:rPr>
        <w:t>ARGUMENTAIRE MASTER DROIT DE LA SANTE ET DU RISQUE SOCIAL</w:t>
      </w:r>
    </w:p>
    <w:p w14:paraId="21D385DF" w14:textId="771F6704" w:rsidR="008A616B" w:rsidRDefault="008A616B" w:rsidP="008A616B">
      <w:pPr>
        <w:spacing w:after="0" w:line="240" w:lineRule="auto"/>
        <w:rPr>
          <w:rFonts w:ascii="Calibri" w:eastAsia="Times New Roman" w:hAnsi="Calibri" w:cs="Calibri"/>
          <w:color w:val="000000"/>
          <w:u w:val="single"/>
          <w:lang w:eastAsia="fr-FR"/>
        </w:rPr>
      </w:pPr>
    </w:p>
    <w:p w14:paraId="0AC0015D" w14:textId="77777777" w:rsidR="008A616B" w:rsidRDefault="008A616B" w:rsidP="008A616B">
      <w:pPr>
        <w:spacing w:after="0" w:line="240" w:lineRule="auto"/>
        <w:rPr>
          <w:rFonts w:ascii="Calibri" w:eastAsia="Times New Roman" w:hAnsi="Calibri" w:cs="Calibri"/>
          <w:color w:val="000000"/>
          <w:u w:val="single"/>
          <w:lang w:eastAsia="fr-FR"/>
        </w:rPr>
      </w:pPr>
    </w:p>
    <w:p w14:paraId="22B68458" w14:textId="6FBC31E8" w:rsidR="008A616B" w:rsidRPr="008A616B" w:rsidRDefault="008A616B" w:rsidP="008A616B">
      <w:pPr>
        <w:spacing w:after="0" w:line="240" w:lineRule="auto"/>
        <w:rPr>
          <w:rFonts w:ascii="Calibri" w:eastAsia="Times New Roman" w:hAnsi="Calibri" w:cs="Calibri"/>
          <w:color w:val="000000"/>
          <w:sz w:val="24"/>
          <w:szCs w:val="24"/>
          <w:lang w:eastAsia="fr-FR"/>
        </w:rPr>
      </w:pPr>
      <w:r w:rsidRPr="008A616B">
        <w:rPr>
          <w:rFonts w:ascii="Calibri" w:eastAsia="Times New Roman" w:hAnsi="Calibri" w:cs="Calibri"/>
          <w:color w:val="000000"/>
          <w:u w:val="single"/>
          <w:lang w:eastAsia="fr-FR"/>
        </w:rPr>
        <w:t>Objet :</w:t>
      </w:r>
      <w:r w:rsidRPr="008A616B">
        <w:rPr>
          <w:rFonts w:ascii="Calibri" w:eastAsia="Times New Roman" w:hAnsi="Calibri" w:cs="Calibri"/>
          <w:color w:val="000000"/>
          <w:lang w:eastAsia="fr-FR"/>
        </w:rPr>
        <w:t xml:space="preserve"> Demande dérogatoire de modification de maquette du parcours de M2 "Santé, assurances et vulnérabilités" issu d'une refonte du M2 santé des populations actuellement suspendu (modification avec une baisse du volume horaire de 100H)</w:t>
      </w:r>
    </w:p>
    <w:p w14:paraId="4EFFDB57" w14:textId="77777777" w:rsidR="008A616B" w:rsidRPr="008A616B" w:rsidRDefault="008A616B" w:rsidP="008A616B">
      <w:pPr>
        <w:spacing w:after="0" w:line="240" w:lineRule="auto"/>
        <w:rPr>
          <w:rFonts w:ascii="Calibri" w:eastAsia="Times New Roman" w:hAnsi="Calibri" w:cs="Calibri"/>
          <w:color w:val="000000"/>
          <w:sz w:val="24"/>
          <w:szCs w:val="24"/>
          <w:lang w:eastAsia="fr-FR"/>
        </w:rPr>
      </w:pPr>
    </w:p>
    <w:p w14:paraId="488E7B5C" w14:textId="77777777" w:rsidR="008A616B" w:rsidRPr="008A616B" w:rsidRDefault="008A616B" w:rsidP="008A616B">
      <w:pPr>
        <w:spacing w:after="0" w:line="240" w:lineRule="auto"/>
        <w:rPr>
          <w:rFonts w:ascii="Calibri" w:eastAsia="Times New Roman" w:hAnsi="Calibri" w:cs="Calibri"/>
          <w:color w:val="000000"/>
          <w:sz w:val="24"/>
          <w:szCs w:val="24"/>
          <w:lang w:eastAsia="fr-FR"/>
        </w:rPr>
      </w:pPr>
      <w:r w:rsidRPr="008A616B">
        <w:rPr>
          <w:rFonts w:ascii="Calibri" w:eastAsia="Times New Roman" w:hAnsi="Calibri" w:cs="Calibri"/>
          <w:color w:val="000000"/>
          <w:lang w:eastAsia="fr-FR"/>
        </w:rPr>
        <w:t>Le Parcours de M2 "Droit de la santé, assurances et vulnérabilités" est issu d'une refonte complète du M2 Santé des populations qui était porté par la mention Droit public. Lors de la campagne d'habilitation conduite cette année, nous avons profondément remanié ce parcours de M2 en l'inscrivant dans deux nouvelles mentions, la mention "droit privé" d'une part, et la mention "droit des affaires". Nous avions également intégré deux modules à forte dimension patrimoniale dans ce parcours, et avions conçu pour cela une offre de 400h mutualisées avec une perspective d'ouverture à l'apprentissage. </w:t>
      </w:r>
    </w:p>
    <w:p w14:paraId="1D1F61B3" w14:textId="77777777" w:rsidR="008A616B" w:rsidRPr="008A616B" w:rsidRDefault="008A616B" w:rsidP="008A616B">
      <w:pPr>
        <w:spacing w:after="0" w:line="240" w:lineRule="auto"/>
        <w:rPr>
          <w:rFonts w:ascii="Calibri" w:eastAsia="Times New Roman" w:hAnsi="Calibri" w:cs="Calibri"/>
          <w:color w:val="000000"/>
          <w:sz w:val="24"/>
          <w:szCs w:val="24"/>
          <w:lang w:eastAsia="fr-FR"/>
        </w:rPr>
      </w:pPr>
    </w:p>
    <w:p w14:paraId="57F3CB5F" w14:textId="77777777" w:rsidR="008A616B" w:rsidRPr="008A616B" w:rsidRDefault="008A616B" w:rsidP="008A616B">
      <w:pPr>
        <w:spacing w:after="0" w:line="240" w:lineRule="auto"/>
        <w:rPr>
          <w:rFonts w:ascii="Calibri" w:eastAsia="Times New Roman" w:hAnsi="Calibri" w:cs="Calibri"/>
          <w:color w:val="000000"/>
          <w:sz w:val="24"/>
          <w:szCs w:val="24"/>
          <w:lang w:eastAsia="fr-FR"/>
        </w:rPr>
      </w:pPr>
      <w:r w:rsidRPr="008A616B">
        <w:rPr>
          <w:rFonts w:ascii="Calibri" w:eastAsia="Times New Roman" w:hAnsi="Calibri" w:cs="Calibri"/>
          <w:color w:val="000000"/>
          <w:lang w:eastAsia="fr-FR"/>
        </w:rPr>
        <w:t xml:space="preserve">Or, deux éléments essentiels de contexte pour le bassin d'emploi nous sont parvenus récemment nous obligeant à revoir notre positionnement : </w:t>
      </w:r>
    </w:p>
    <w:p w14:paraId="3ECDCFF5" w14:textId="77777777" w:rsidR="008A616B" w:rsidRPr="008A616B" w:rsidRDefault="008A616B" w:rsidP="008A616B">
      <w:pPr>
        <w:numPr>
          <w:ilvl w:val="0"/>
          <w:numId w:val="1"/>
        </w:numPr>
        <w:spacing w:before="100" w:beforeAutospacing="1" w:after="100" w:afterAutospacing="1" w:line="240" w:lineRule="auto"/>
        <w:rPr>
          <w:rFonts w:ascii="Calibri" w:eastAsia="Times New Roman" w:hAnsi="Calibri" w:cs="Calibri"/>
          <w:color w:val="000000"/>
          <w:lang w:eastAsia="fr-FR"/>
        </w:rPr>
      </w:pPr>
      <w:r w:rsidRPr="008A616B">
        <w:rPr>
          <w:rFonts w:ascii="Calibri" w:eastAsia="Times New Roman" w:hAnsi="Calibri" w:cs="Calibri"/>
          <w:color w:val="000000"/>
          <w:lang w:eastAsia="fr-FR"/>
        </w:rPr>
        <w:t xml:space="preserve">Le ministère vient d'arbitrer en faveur de la création d'une licence pro pour former les étudiants et les salariés à la protection patrimoniale des personnes vulnérables pour laquelle l'UFR de droit de Nice devrait se positionner en termes d'offres. Cela nous conduit à perdre un vivier de débouchés et notamment de contrats d'apprentissage dans le M2 ; </w:t>
      </w:r>
    </w:p>
    <w:p w14:paraId="78AFB8AD" w14:textId="77777777" w:rsidR="008A616B" w:rsidRPr="008A616B" w:rsidRDefault="008A616B" w:rsidP="008A616B">
      <w:pPr>
        <w:numPr>
          <w:ilvl w:val="0"/>
          <w:numId w:val="1"/>
        </w:numPr>
        <w:spacing w:before="100" w:beforeAutospacing="1" w:after="100" w:afterAutospacing="1" w:line="240" w:lineRule="auto"/>
        <w:rPr>
          <w:rFonts w:ascii="Calibri" w:eastAsia="Times New Roman" w:hAnsi="Calibri" w:cs="Calibri"/>
          <w:color w:val="000000"/>
          <w:lang w:eastAsia="fr-FR"/>
        </w:rPr>
      </w:pPr>
      <w:r w:rsidRPr="008A616B">
        <w:rPr>
          <w:rFonts w:ascii="Calibri" w:eastAsia="Times New Roman" w:hAnsi="Calibri" w:cs="Calibri"/>
          <w:color w:val="000000"/>
          <w:lang w:eastAsia="fr-FR"/>
        </w:rPr>
        <w:t>Le master 2 droit notarial de Nice va ouvrir une filière en contrat de professionnalisation : nous perdons donc un gros bassin de recrutement sur le vivier "patrimonial" en perdant les études de notaire (notamment)</w:t>
      </w:r>
    </w:p>
    <w:p w14:paraId="084CBA6A" w14:textId="77777777" w:rsidR="008A616B" w:rsidRPr="008A616B" w:rsidRDefault="008A616B" w:rsidP="008A616B">
      <w:pPr>
        <w:spacing w:after="0" w:line="240" w:lineRule="auto"/>
        <w:rPr>
          <w:rFonts w:ascii="Calibri" w:eastAsia="Times New Roman" w:hAnsi="Calibri" w:cs="Calibri"/>
          <w:color w:val="000000"/>
          <w:sz w:val="24"/>
          <w:szCs w:val="24"/>
          <w:lang w:eastAsia="fr-FR"/>
        </w:rPr>
      </w:pPr>
      <w:r w:rsidRPr="008A616B">
        <w:rPr>
          <w:rFonts w:ascii="Calibri" w:eastAsia="Times New Roman" w:hAnsi="Calibri" w:cs="Calibri"/>
          <w:color w:val="000000"/>
          <w:lang w:eastAsia="fr-FR"/>
        </w:rPr>
        <w:t>Pour ces deux raisons, nous souhaiterions "</w:t>
      </w:r>
      <w:proofErr w:type="spellStart"/>
      <w:r w:rsidRPr="008A616B">
        <w:rPr>
          <w:rFonts w:ascii="Calibri" w:eastAsia="Times New Roman" w:hAnsi="Calibri" w:cs="Calibri"/>
          <w:color w:val="000000"/>
          <w:lang w:eastAsia="fr-FR"/>
        </w:rPr>
        <w:t>re-positionner</w:t>
      </w:r>
      <w:proofErr w:type="spellEnd"/>
      <w:r w:rsidRPr="008A616B">
        <w:rPr>
          <w:rFonts w:ascii="Calibri" w:eastAsia="Times New Roman" w:hAnsi="Calibri" w:cs="Calibri"/>
          <w:color w:val="000000"/>
          <w:lang w:eastAsia="fr-FR"/>
        </w:rPr>
        <w:t>" notre offre en modifiant son titre et en allégeant la maquette des deux modules consacrés aux questions patrimoniales (passage de 400h à 300h) pour la recentrer sur la gestion et la prévention des risques sanitaires et sociaux. Le parcours de Master 2 intitulé "</w:t>
      </w:r>
      <w:r w:rsidRPr="008A616B">
        <w:rPr>
          <w:rFonts w:ascii="Calibri" w:eastAsia="Times New Roman" w:hAnsi="Calibri" w:cs="Calibri"/>
          <w:i/>
          <w:iCs/>
          <w:color w:val="000000"/>
          <w:lang w:eastAsia="fr-FR"/>
        </w:rPr>
        <w:t>Droit de la santé et du risque social</w:t>
      </w:r>
      <w:r w:rsidRPr="008A616B">
        <w:rPr>
          <w:rFonts w:ascii="Calibri" w:eastAsia="Times New Roman" w:hAnsi="Calibri" w:cs="Calibri"/>
          <w:color w:val="000000"/>
          <w:lang w:eastAsia="fr-FR"/>
        </w:rPr>
        <w:t xml:space="preserve">" aura vocation à former nos étudiants à la maîtrise des problématiques et des techniques juridiques de gestion du risque santé, mais aussi du risque retraite, accident du travail/ maladie professionnelles, vieillissement au travail, et prévoyance (sénior dans l'emploi) etc. Ces thématiques ont déjà reçu un accueil très favorable de l'Urssaf, des caisses de sécurité sociale, des </w:t>
      </w:r>
      <w:proofErr w:type="spellStart"/>
      <w:r w:rsidRPr="008A616B">
        <w:rPr>
          <w:rFonts w:ascii="Calibri" w:eastAsia="Times New Roman" w:hAnsi="Calibri" w:cs="Calibri"/>
          <w:color w:val="000000"/>
          <w:lang w:eastAsia="fr-FR"/>
        </w:rPr>
        <w:t>ephad</w:t>
      </w:r>
      <w:proofErr w:type="spellEnd"/>
      <w:r w:rsidRPr="008A616B">
        <w:rPr>
          <w:rFonts w:ascii="Calibri" w:eastAsia="Times New Roman" w:hAnsi="Calibri" w:cs="Calibri"/>
          <w:color w:val="000000"/>
          <w:lang w:eastAsia="fr-FR"/>
        </w:rPr>
        <w:t xml:space="preserve"> et des établissements de santé, mais également des cabinets de courtage et des assureurs (avec des métiers de juriste en droit social, de juriste en droit de la santé, mais également pour occuper des postes de chargé d'affaires, d'inspecteur commercial dans les cabinets de courtage, e chargé de clientèle, voir des postes de "social </w:t>
      </w:r>
      <w:proofErr w:type="spellStart"/>
      <w:r w:rsidRPr="008A616B">
        <w:rPr>
          <w:rFonts w:ascii="Calibri" w:eastAsia="Times New Roman" w:hAnsi="Calibri" w:cs="Calibri"/>
          <w:color w:val="000000"/>
          <w:lang w:eastAsia="fr-FR"/>
        </w:rPr>
        <w:t>risk</w:t>
      </w:r>
      <w:proofErr w:type="spellEnd"/>
      <w:r w:rsidRPr="008A616B">
        <w:rPr>
          <w:rFonts w:ascii="Calibri" w:eastAsia="Times New Roman" w:hAnsi="Calibri" w:cs="Calibri"/>
          <w:color w:val="000000"/>
          <w:lang w:eastAsia="fr-FR"/>
        </w:rPr>
        <w:t xml:space="preserve"> manager" dans les entreprises et les cabinets d'expert-comptable). En effet, le diplôme formera des étudiants attentifs à la gestion des risques sociaux dans leur ensemble avec de solides connaissances en droit, mais également une certaine capacité à dialoguer avec les autres disciplines, que l'on pense à l'économie de l'assurance ou à la gestion des problématiques de compliance, de veille et de déontologie. Ce parcours trouvera également toute sa place dans les axes stratégiques portés par l'établissement (qu'il s'agisse de l'axe santé, vieillissement ou encore de celui qui est développé sur l'IA). </w:t>
      </w:r>
    </w:p>
    <w:p w14:paraId="029827D6" w14:textId="77777777" w:rsidR="008A616B" w:rsidRPr="008A616B" w:rsidRDefault="008A616B" w:rsidP="008A616B">
      <w:pPr>
        <w:spacing w:after="0" w:line="240" w:lineRule="auto"/>
        <w:rPr>
          <w:rFonts w:ascii="Calibri" w:eastAsia="Times New Roman" w:hAnsi="Calibri" w:cs="Calibri"/>
          <w:color w:val="000000"/>
          <w:sz w:val="24"/>
          <w:szCs w:val="24"/>
          <w:lang w:eastAsia="fr-FR"/>
        </w:rPr>
      </w:pPr>
    </w:p>
    <w:p w14:paraId="223D007B" w14:textId="77777777" w:rsidR="008A616B" w:rsidRPr="008A616B" w:rsidRDefault="008A616B" w:rsidP="008A616B">
      <w:pPr>
        <w:spacing w:after="0" w:line="240" w:lineRule="auto"/>
        <w:rPr>
          <w:rFonts w:ascii="Calibri" w:eastAsia="Times New Roman" w:hAnsi="Calibri" w:cs="Calibri"/>
          <w:color w:val="000000"/>
          <w:sz w:val="24"/>
          <w:szCs w:val="24"/>
          <w:lang w:eastAsia="fr-FR"/>
        </w:rPr>
      </w:pPr>
      <w:r w:rsidRPr="008A616B">
        <w:rPr>
          <w:rFonts w:ascii="Calibri" w:eastAsia="Times New Roman" w:hAnsi="Calibri" w:cs="Calibri"/>
          <w:color w:val="000000"/>
          <w:lang w:eastAsia="fr-FR"/>
        </w:rPr>
        <w:t xml:space="preserve">Pour toutes ces raisons, nous vous transmettons une maquette modifiée qui devrait répondre tant aux besoins du bassin d'emploi des Alpes-Maritimes qu'aux axes stratégiques de l'établissement. </w:t>
      </w:r>
    </w:p>
    <w:p w14:paraId="51553DF2" w14:textId="77777777" w:rsidR="00EC6E93" w:rsidRDefault="00EC6E93"/>
    <w:sectPr w:rsidR="00EC6E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60A9"/>
    <w:multiLevelType w:val="multilevel"/>
    <w:tmpl w:val="1EC6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16B"/>
    <w:rsid w:val="001D4B13"/>
    <w:rsid w:val="008A616B"/>
    <w:rsid w:val="00EC6E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7FB1B"/>
  <w15:chartTrackingRefBased/>
  <w15:docId w15:val="{EA75DD23-CCBF-4A64-97A9-373C593B8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xxelementtoproof">
    <w:name w:val="x_x_elementtoproof"/>
    <w:basedOn w:val="Policepardfaut"/>
    <w:rsid w:val="008A6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130311">
      <w:bodyDiv w:val="1"/>
      <w:marLeft w:val="0"/>
      <w:marRight w:val="0"/>
      <w:marTop w:val="0"/>
      <w:marBottom w:val="0"/>
      <w:divBdr>
        <w:top w:val="none" w:sz="0" w:space="0" w:color="auto"/>
        <w:left w:val="none" w:sz="0" w:space="0" w:color="auto"/>
        <w:bottom w:val="none" w:sz="0" w:space="0" w:color="auto"/>
        <w:right w:val="none" w:sz="0" w:space="0" w:color="auto"/>
      </w:divBdr>
      <w:divsChild>
        <w:div w:id="2026321226">
          <w:marLeft w:val="0"/>
          <w:marRight w:val="0"/>
          <w:marTop w:val="0"/>
          <w:marBottom w:val="0"/>
          <w:divBdr>
            <w:top w:val="none" w:sz="0" w:space="0" w:color="auto"/>
            <w:left w:val="none" w:sz="0" w:space="0" w:color="auto"/>
            <w:bottom w:val="none" w:sz="0" w:space="0" w:color="auto"/>
            <w:right w:val="none" w:sz="0" w:space="0" w:color="auto"/>
          </w:divBdr>
        </w:div>
        <w:div w:id="1788617708">
          <w:marLeft w:val="0"/>
          <w:marRight w:val="0"/>
          <w:marTop w:val="0"/>
          <w:marBottom w:val="0"/>
          <w:divBdr>
            <w:top w:val="none" w:sz="0" w:space="0" w:color="auto"/>
            <w:left w:val="none" w:sz="0" w:space="0" w:color="auto"/>
            <w:bottom w:val="none" w:sz="0" w:space="0" w:color="auto"/>
            <w:right w:val="none" w:sz="0" w:space="0" w:color="auto"/>
          </w:divBdr>
        </w:div>
        <w:div w:id="795412181">
          <w:marLeft w:val="0"/>
          <w:marRight w:val="0"/>
          <w:marTop w:val="0"/>
          <w:marBottom w:val="0"/>
          <w:divBdr>
            <w:top w:val="none" w:sz="0" w:space="0" w:color="auto"/>
            <w:left w:val="none" w:sz="0" w:space="0" w:color="auto"/>
            <w:bottom w:val="none" w:sz="0" w:space="0" w:color="auto"/>
            <w:right w:val="none" w:sz="0" w:space="0" w:color="auto"/>
          </w:divBdr>
        </w:div>
        <w:div w:id="731586319">
          <w:marLeft w:val="0"/>
          <w:marRight w:val="0"/>
          <w:marTop w:val="0"/>
          <w:marBottom w:val="0"/>
          <w:divBdr>
            <w:top w:val="none" w:sz="0" w:space="0" w:color="auto"/>
            <w:left w:val="none" w:sz="0" w:space="0" w:color="auto"/>
            <w:bottom w:val="none" w:sz="0" w:space="0" w:color="auto"/>
            <w:right w:val="none" w:sz="0" w:space="0" w:color="auto"/>
          </w:divBdr>
        </w:div>
        <w:div w:id="633408459">
          <w:marLeft w:val="0"/>
          <w:marRight w:val="0"/>
          <w:marTop w:val="0"/>
          <w:marBottom w:val="0"/>
          <w:divBdr>
            <w:top w:val="none" w:sz="0" w:space="0" w:color="auto"/>
            <w:left w:val="none" w:sz="0" w:space="0" w:color="auto"/>
            <w:bottom w:val="none" w:sz="0" w:space="0" w:color="auto"/>
            <w:right w:val="none" w:sz="0" w:space="0" w:color="auto"/>
          </w:divBdr>
        </w:div>
        <w:div w:id="1697852833">
          <w:marLeft w:val="0"/>
          <w:marRight w:val="0"/>
          <w:marTop w:val="0"/>
          <w:marBottom w:val="0"/>
          <w:divBdr>
            <w:top w:val="none" w:sz="0" w:space="0" w:color="auto"/>
            <w:left w:val="none" w:sz="0" w:space="0" w:color="auto"/>
            <w:bottom w:val="none" w:sz="0" w:space="0" w:color="auto"/>
            <w:right w:val="none" w:sz="0" w:space="0" w:color="auto"/>
          </w:divBdr>
        </w:div>
        <w:div w:id="10567057">
          <w:marLeft w:val="0"/>
          <w:marRight w:val="0"/>
          <w:marTop w:val="0"/>
          <w:marBottom w:val="0"/>
          <w:divBdr>
            <w:top w:val="none" w:sz="0" w:space="0" w:color="auto"/>
            <w:left w:val="none" w:sz="0" w:space="0" w:color="auto"/>
            <w:bottom w:val="none" w:sz="0" w:space="0" w:color="auto"/>
            <w:right w:val="none" w:sz="0" w:space="0" w:color="auto"/>
          </w:divBdr>
        </w:div>
        <w:div w:id="87891887">
          <w:marLeft w:val="0"/>
          <w:marRight w:val="0"/>
          <w:marTop w:val="0"/>
          <w:marBottom w:val="0"/>
          <w:divBdr>
            <w:top w:val="none" w:sz="0" w:space="0" w:color="auto"/>
            <w:left w:val="none" w:sz="0" w:space="0" w:color="auto"/>
            <w:bottom w:val="none" w:sz="0" w:space="0" w:color="auto"/>
            <w:right w:val="none" w:sz="0" w:space="0" w:color="auto"/>
          </w:divBdr>
        </w:div>
        <w:div w:id="2208733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E031BDC8238D44AD24E7522760F959" ma:contentTypeVersion="5" ma:contentTypeDescription="Crée un document." ma:contentTypeScope="" ma:versionID="a862ee79ba7b67c1bb080c3544e0d668">
  <xsd:schema xmlns:xsd="http://www.w3.org/2001/XMLSchema" xmlns:xs="http://www.w3.org/2001/XMLSchema" xmlns:p="http://schemas.microsoft.com/office/2006/metadata/properties" xmlns:ns2="d611c9c2-6b56-4849-b950-786809b9728c" xmlns:ns3="4eacdc45-573b-453c-8910-5f8bec69df56" targetNamespace="http://schemas.microsoft.com/office/2006/metadata/properties" ma:root="true" ma:fieldsID="0a0f33132aac73655262a8150c2f04af" ns2:_="" ns3:_="">
    <xsd:import namespace="d611c9c2-6b56-4849-b950-786809b9728c"/>
    <xsd:import namespace="4eacdc45-573b-453c-8910-5f8bec69df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1c9c2-6b56-4849-b950-786809b972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acdc45-573b-453c-8910-5f8bec69df56"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8DB47D-9A2C-4458-ACEC-C291F9BB449C}">
  <ds:schemaRefs>
    <ds:schemaRef ds:uri="http://schemas.microsoft.com/sharepoint/v3/contenttype/forms"/>
  </ds:schemaRefs>
</ds:datastoreItem>
</file>

<file path=customXml/itemProps2.xml><?xml version="1.0" encoding="utf-8"?>
<ds:datastoreItem xmlns:ds="http://schemas.openxmlformats.org/officeDocument/2006/customXml" ds:itemID="{394F2167-BA21-4E3E-9761-0A998FA3A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1c9c2-6b56-4849-b950-786809b9728c"/>
    <ds:schemaRef ds:uri="4eacdc45-573b-453c-8910-5f8bec69df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6F84F1-33B9-4FE3-8A07-A443A627F74F}">
  <ds:schemaRefs>
    <ds:schemaRef ds:uri="d611c9c2-6b56-4849-b950-786809b9728c"/>
    <ds:schemaRef ds:uri="http://schemas.microsoft.com/office/2006/metadata/properties"/>
    <ds:schemaRef ds:uri="http://purl.org/dc/dcmitype/"/>
    <ds:schemaRef ds:uri="http://www.w3.org/XML/1998/namespace"/>
    <ds:schemaRef ds:uri="http://purl.org/dc/elements/1.1/"/>
    <ds:schemaRef ds:uri="http://schemas.microsoft.com/office/2006/documentManagement/types"/>
    <ds:schemaRef ds:uri="http://purl.org/dc/terms/"/>
    <ds:schemaRef ds:uri="4eacdc45-573b-453c-8910-5f8bec69df56"/>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2962</Characters>
  <Application>Microsoft Office Word</Application>
  <DocSecurity>0</DocSecurity>
  <Lines>24</Lines>
  <Paragraphs>6</Paragraphs>
  <ScaleCrop>false</ScaleCrop>
  <Company>Universite Cote d'Azur</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Carole Puleo</cp:lastModifiedBy>
  <cp:revision>2</cp:revision>
  <dcterms:created xsi:type="dcterms:W3CDTF">2023-10-12T13:36:00Z</dcterms:created>
  <dcterms:modified xsi:type="dcterms:W3CDTF">2023-10-12T13:36:00Z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0x0101009CE031BDC8238D44AD24E7522760F959</vt:lpwstr>
  </property>
</Properties>
</file>